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71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eastAsia="Calibri" w:cs="Times New Roman"/>
          <w:b/>
          <w:bCs/>
          <w:sz w:val="36"/>
          <w:szCs w:val="36"/>
        </w:rPr>
        <w:t>ПАМЯТКА</w:t>
      </w:r>
    </w:p>
    <w:p w14:paraId="4A82B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>ЧТО УКРЫВАЕМЫЙ ДОЛЖЕН ВЗЯТЬ С СОБОЙ ПРИ УКРЫТИИ В ЗАГЛУБЛЕННЫХ И ДРУГИХ ПОМЕЩЕНИЯХ ПОДЗЕМНОГО ПРОСТРАНСТВА</w:t>
      </w:r>
    </w:p>
    <w:p w14:paraId="14F1F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ascii="Times New Roman" w:hAnsi="Times New Roman" w:eastAsia="Calibri" w:cs="Times New Roman"/>
          <w:sz w:val="28"/>
          <w:szCs w:val="24"/>
        </w:rPr>
        <w:t>При подготовке к укрытию в заглубленных и других помещениях подземного пространства рекомендовано укрываемым иметь с собой «</w:t>
      </w:r>
      <w:r>
        <w:rPr>
          <w:rFonts w:ascii="Times New Roman" w:hAnsi="Times New Roman" w:eastAsia="Calibri" w:cs="Times New Roman"/>
          <w:b/>
          <w:sz w:val="28"/>
          <w:szCs w:val="24"/>
        </w:rPr>
        <w:t>Тревожный набор</w:t>
      </w:r>
      <w:r>
        <w:rPr>
          <w:rFonts w:ascii="Times New Roman" w:hAnsi="Times New Roman" w:eastAsia="Calibri" w:cs="Times New Roman"/>
          <w:sz w:val="28"/>
          <w:szCs w:val="24"/>
        </w:rPr>
        <w:t>», который должен обеспечить безопасное пребывание в заглубленном или другом помещении подземного пространства в течение одних или двух суток.</w:t>
      </w:r>
    </w:p>
    <w:p w14:paraId="2274CE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ascii="Times New Roman" w:hAnsi="Times New Roman" w:eastAsia="Calibri" w:cs="Times New Roman"/>
          <w:sz w:val="28"/>
          <w:szCs w:val="24"/>
        </w:rPr>
        <w:t>В «тревожном наборе» должны быть средства индивидуальной защиты, основные документы, продукты питания, вода, аптечка, сменная одежда, одеяло, телефон и некоторые другие необходимые принадлежности.</w:t>
      </w:r>
    </w:p>
    <w:p w14:paraId="761E33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4"/>
        </w:rPr>
      </w:pPr>
    </w:p>
    <w:tbl>
      <w:tblPr>
        <w:tblStyle w:val="3"/>
        <w:tblpPr w:leftFromText="180" w:rightFromText="180" w:vertAnchor="text" w:horzAnchor="margin" w:tblpXSpec="center" w:tblpY="79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0"/>
        <w:gridCol w:w="6694"/>
      </w:tblGrid>
      <w:tr w14:paraId="4F672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</w:trPr>
        <w:tc>
          <w:tcPr>
            <w:tcW w:w="2770" w:type="dxa"/>
          </w:tcPr>
          <w:p w14:paraId="7FB18F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4"/>
              </w:rPr>
            </w:pPr>
            <w:r>
              <w:rPr>
                <w:rFonts w:ascii="Times New Roman" w:hAnsi="Times New Roman" w:eastAsia="Calibri" w:cs="Times New Roman"/>
                <w:sz w:val="28"/>
                <w:szCs w:val="24"/>
              </w:rPr>
              <w:drawing>
                <wp:inline distT="0" distB="0" distL="0" distR="0">
                  <wp:extent cx="1621790" cy="1820545"/>
                  <wp:effectExtent l="0" t="0" r="0" b="825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Рисунок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182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4" w:type="dxa"/>
          </w:tcPr>
          <w:p w14:paraId="59D159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4"/>
              </w:rPr>
            </w:pPr>
            <w:r>
              <w:rPr>
                <w:rFonts w:ascii="Times New Roman" w:hAnsi="Times New Roman" w:eastAsia="Calibri" w:cs="Times New Roman"/>
                <w:sz w:val="28"/>
                <w:szCs w:val="24"/>
              </w:rPr>
              <w:t>«Тревожный набор» должен храниться в рюкзаках или сумках, которые могут быть распределены для переноски между членами семьи. Раз в год «тревожный набор» проверяется и обновляется.</w:t>
            </w:r>
          </w:p>
        </w:tc>
      </w:tr>
    </w:tbl>
    <w:p w14:paraId="43CB151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>Вес «тревожного набора» и других необходимых принадлежностей</w:t>
      </w:r>
    </w:p>
    <w:p w14:paraId="60F5B58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</w:rPr>
        <w:t>должен составлять не более:</w:t>
      </w:r>
    </w:p>
    <w:p w14:paraId="4D42CF0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для мужчин – 30 кг;</w:t>
      </w:r>
    </w:p>
    <w:p w14:paraId="170CC2C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для женщин – 10 кг;</w:t>
      </w:r>
    </w:p>
    <w:p w14:paraId="5F98ABC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для юношей и девушек в возрасте:</w:t>
      </w:r>
    </w:p>
    <w:p w14:paraId="7F02AB3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14 лет – 12 и 4 кг;</w:t>
      </w:r>
    </w:p>
    <w:p w14:paraId="246F201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15 лет – 15 и 5 кг;</w:t>
      </w:r>
    </w:p>
    <w:p w14:paraId="562FEF2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16 лет – 20 и 7 кг;</w:t>
      </w:r>
    </w:p>
    <w:p w14:paraId="07F64C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17 лет – 24 и 8 кг соответственно.</w:t>
      </w:r>
    </w:p>
    <w:p w14:paraId="0EF07044">
      <w:pPr>
        <w:spacing w:after="0" w:line="240" w:lineRule="auto"/>
        <w:ind w:firstLine="709"/>
        <w:rPr>
          <w:rFonts w:ascii="Times New Roman" w:hAnsi="Times New Roman" w:eastAsia="Calibri" w:cs="Times New Roman"/>
          <w:b/>
          <w:bCs/>
          <w:sz w:val="28"/>
          <w:szCs w:val="24"/>
        </w:rPr>
      </w:pPr>
      <w:r>
        <w:rPr>
          <w:rFonts w:ascii="Times New Roman" w:hAnsi="Times New Roman" w:eastAsia="Calibri" w:cs="Times New Roman"/>
          <w:b/>
          <w:bCs/>
          <w:sz w:val="28"/>
          <w:szCs w:val="24"/>
        </w:rPr>
        <w:t>Средства индивидуальной защиты.</w:t>
      </w:r>
    </w:p>
    <w:tbl>
      <w:tblPr>
        <w:tblStyle w:val="3"/>
        <w:tblpPr w:leftFromText="180" w:rightFromText="180" w:vertAnchor="text" w:horzAnchor="margin" w:tblpY="370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6"/>
        <w:gridCol w:w="6184"/>
      </w:tblGrid>
      <w:tr w14:paraId="3CC49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</w:trPr>
        <w:tc>
          <w:tcPr>
            <w:tcW w:w="3426" w:type="dxa"/>
          </w:tcPr>
          <w:p w14:paraId="390FA5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4"/>
              </w:rPr>
            </w:pPr>
            <w:r>
              <w:rPr>
                <w:rFonts w:ascii="Times New Roman" w:hAnsi="Times New Roman" w:eastAsia="Calibri" w:cs="Times New Roman"/>
                <w:sz w:val="28"/>
                <w:szCs w:val="24"/>
              </w:rPr>
              <w:drawing>
                <wp:inline distT="0" distB="0" distL="0" distR="0">
                  <wp:extent cx="2552065" cy="1701165"/>
                  <wp:effectExtent l="0" t="0" r="63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Рисунок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511" cy="17023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4" w:type="dxa"/>
          </w:tcPr>
          <w:p w14:paraId="2846BC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4"/>
              </w:rPr>
            </w:pPr>
            <w:r>
              <w:rPr>
                <w:rFonts w:ascii="Times New Roman" w:hAnsi="Times New Roman" w:eastAsia="Calibri" w:cs="Times New Roman"/>
                <w:sz w:val="28"/>
                <w:szCs w:val="24"/>
              </w:rPr>
              <w:t>Каждому укрываемому настоятельно рекомендуется иметь с собой самоспасатель, но могут быть и другие индивидуальные средства защиты, такие как противогаз, респиратор.</w:t>
            </w:r>
          </w:p>
        </w:tc>
      </w:tr>
    </w:tbl>
    <w:p w14:paraId="5C6CCEEE">
      <w:pPr>
        <w:spacing w:after="0" w:line="240" w:lineRule="auto"/>
        <w:rPr>
          <w:rFonts w:ascii="Times New Roman" w:hAnsi="Times New Roman" w:eastAsia="Calibri" w:cs="Times New Roman"/>
          <w:sz w:val="28"/>
          <w:szCs w:val="24"/>
        </w:rPr>
      </w:pPr>
    </w:p>
    <w:p w14:paraId="554B71C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b/>
          <w:bCs/>
          <w:sz w:val="28"/>
          <w:szCs w:val="24"/>
        </w:rPr>
      </w:pPr>
    </w:p>
    <w:p w14:paraId="4A57C52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b/>
          <w:bCs/>
          <w:sz w:val="28"/>
          <w:szCs w:val="24"/>
        </w:rPr>
      </w:pPr>
      <w:r>
        <w:rPr>
          <w:rFonts w:ascii="Times New Roman" w:hAnsi="Times New Roman" w:eastAsia="Calibri" w:cs="Times New Roman"/>
          <w:b/>
          <w:bCs/>
          <w:sz w:val="28"/>
          <w:szCs w:val="24"/>
        </w:rPr>
        <w:t>Аптечка.</w:t>
      </w:r>
    </w:p>
    <w:p w14:paraId="2433C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4"/>
        </w:rPr>
      </w:pPr>
      <w:r>
        <w:rPr>
          <w:rFonts w:ascii="Times New Roman" w:hAnsi="Times New Roman" w:eastAsia="Calibri" w:cs="Times New Roman"/>
          <w:sz w:val="28"/>
          <w:szCs w:val="24"/>
        </w:rPr>
        <w:t>Состав аптечки: бинты, лейкопластырь, йод, а также медицинские препараты (средства), которые члены семьи вынуждены принимать постоянно.</w:t>
      </w:r>
    </w:p>
    <w:p w14:paraId="70F736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4"/>
        </w:rPr>
      </w:pPr>
    </w:p>
    <w:tbl>
      <w:tblPr>
        <w:tblStyle w:val="3"/>
        <w:tblpPr w:leftFromText="180" w:rightFromText="180" w:vertAnchor="text" w:horzAnchor="margin" w:tblpY="620"/>
        <w:tblW w:w="1031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8"/>
        <w:gridCol w:w="6094"/>
      </w:tblGrid>
      <w:tr w14:paraId="7BED5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</w:trPr>
        <w:tc>
          <w:tcPr>
            <w:tcW w:w="4218" w:type="dxa"/>
          </w:tcPr>
          <w:p w14:paraId="56F55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4"/>
              </w:rPr>
            </w:pPr>
            <w:r>
              <w:rPr>
                <w:rFonts w:ascii="Times New Roman" w:hAnsi="Times New Roman" w:eastAsia="Calibri" w:cs="Times New Roman"/>
                <w:sz w:val="28"/>
                <w:szCs w:val="24"/>
              </w:rPr>
              <w:drawing>
                <wp:inline distT="0" distB="0" distL="0" distR="0">
                  <wp:extent cx="2488565" cy="1748790"/>
                  <wp:effectExtent l="0" t="0" r="6985" b="381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360" cy="1751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1CCCE8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4"/>
              </w:rPr>
            </w:pPr>
            <w:r>
              <w:rPr>
                <w:rFonts w:ascii="Times New Roman" w:hAnsi="Times New Roman" w:eastAsia="Calibri" w:cs="Times New Roman"/>
                <w:sz w:val="28"/>
                <w:szCs w:val="24"/>
              </w:rPr>
              <w:t>Паспорт, военный билет, трудовая книжка, пенсионное удостоверение, свидетельство о браке, свидетельство о рождении детей, документы об образовании, свидетельство о государственной регистрации права собственности, страховое свидетельство Государственного пенсионного фонда, свидетельство о постановке на учет физического лица в налоговом органе, банковские пластиковые карты, денежные знаки и особо ценные вещи.</w:t>
            </w:r>
          </w:p>
        </w:tc>
      </w:tr>
    </w:tbl>
    <w:p w14:paraId="5BA6C5A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Calibri" w:cs="Times New Roman"/>
          <w:b/>
          <w:bCs/>
          <w:sz w:val="28"/>
          <w:szCs w:val="24"/>
        </w:rPr>
      </w:pPr>
      <w:r>
        <w:rPr>
          <w:rFonts w:ascii="Times New Roman" w:hAnsi="Times New Roman" w:eastAsia="Calibri" w:cs="Times New Roman"/>
          <w:b/>
          <w:bCs/>
          <w:sz w:val="28"/>
          <w:szCs w:val="24"/>
        </w:rPr>
        <w:t>Основные документы.</w:t>
      </w:r>
    </w:p>
    <w:p w14:paraId="27F97D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bCs/>
          <w:sz w:val="28"/>
          <w:szCs w:val="24"/>
        </w:rPr>
      </w:pPr>
    </w:p>
    <w:p w14:paraId="29560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b/>
          <w:bCs/>
          <w:sz w:val="28"/>
          <w:szCs w:val="24"/>
        </w:rPr>
      </w:pPr>
      <w:r>
        <w:rPr>
          <w:rFonts w:ascii="Times New Roman" w:hAnsi="Times New Roman" w:eastAsia="Calibri" w:cs="Times New Roman"/>
          <w:b/>
          <w:bCs/>
          <w:sz w:val="28"/>
          <w:szCs w:val="24"/>
        </w:rPr>
        <w:t>Продукты питания и запасы воды.</w:t>
      </w:r>
    </w:p>
    <w:tbl>
      <w:tblPr>
        <w:tblStyle w:val="3"/>
        <w:tblpPr w:leftFromText="180" w:rightFromText="180" w:vertAnchor="text" w:horzAnchor="margin" w:tblpY="620"/>
        <w:tblW w:w="1031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8"/>
        <w:gridCol w:w="6094"/>
      </w:tblGrid>
      <w:tr w14:paraId="33145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</w:trPr>
        <w:tc>
          <w:tcPr>
            <w:tcW w:w="4218" w:type="dxa"/>
          </w:tcPr>
          <w:p w14:paraId="6408A8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4"/>
              </w:rPr>
            </w:pPr>
            <w:r>
              <w:rPr>
                <w:rFonts w:ascii="Times New Roman" w:hAnsi="Times New Roman" w:eastAsia="Calibri" w:cs="Times New Roman"/>
                <w:sz w:val="28"/>
                <w:szCs w:val="24"/>
              </w:rPr>
              <w:drawing>
                <wp:inline distT="0" distB="0" distL="0" distR="0">
                  <wp:extent cx="2488565" cy="1572260"/>
                  <wp:effectExtent l="0" t="0" r="6985" b="889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Рисунок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8597" cy="1572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4" w:type="dxa"/>
          </w:tcPr>
          <w:p w14:paraId="3B2AC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4"/>
              </w:rPr>
            </w:pPr>
            <w:r>
              <w:rPr>
                <w:rFonts w:ascii="Times New Roman" w:hAnsi="Times New Roman" w:eastAsia="Calibri" w:cs="Times New Roman"/>
                <w:sz w:val="28"/>
                <w:szCs w:val="24"/>
              </w:rPr>
              <w:t>Продукты питания и запасы воды необходимо взять на срок:</w:t>
            </w:r>
          </w:p>
          <w:p w14:paraId="72AD91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 w:eastAsia="Calibri" w:cs="Times New Roman"/>
                <w:sz w:val="28"/>
                <w:szCs w:val="24"/>
              </w:rPr>
              <w:t xml:space="preserve"> до одних суток, на период действия обычных средств поражения;</w:t>
            </w:r>
          </w:p>
          <w:p w14:paraId="07B7D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 w:eastAsia="Calibri" w:cs="Times New Roman"/>
                <w:sz w:val="28"/>
                <w:szCs w:val="24"/>
              </w:rPr>
              <w:t xml:space="preserve"> до двух суток, в случае, если помещение для укрытия расположено в зоне возможного радиоактивного загрязнения.</w:t>
            </w:r>
          </w:p>
        </w:tc>
      </w:tr>
    </w:tbl>
    <w:p w14:paraId="2E5908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32"/>
          <w:szCs w:val="24"/>
        </w:rPr>
      </w:pPr>
    </w:p>
    <w:p w14:paraId="28AC42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</w:p>
    <w:p w14:paraId="737D56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Из продуктов питания нужно брать такие, которые могут долго храниться без холодильника. Предпочтительнее продукты без острых запахов и в защитной упаковке (в пергаментной бумаге, целлофане, различного вида консервы).</w:t>
      </w:r>
    </w:p>
    <w:p w14:paraId="2A5F922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Рекомендуется следующий </w:t>
      </w:r>
      <w:r>
        <w:rPr>
          <w:rFonts w:ascii="Times New Roman" w:hAnsi="Times New Roman" w:eastAsia="Calibri" w:cs="Times New Roman"/>
          <w:b/>
          <w:sz w:val="28"/>
          <w:szCs w:val="28"/>
        </w:rPr>
        <w:t>набор продуктов</w:t>
      </w:r>
      <w:r>
        <w:rPr>
          <w:rFonts w:ascii="Times New Roman" w:hAnsi="Times New Roman" w:eastAsia="Calibri" w:cs="Times New Roman"/>
          <w:sz w:val="28"/>
          <w:szCs w:val="28"/>
        </w:rPr>
        <w:t>:</w:t>
      </w:r>
    </w:p>
    <w:p w14:paraId="2F76B69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для взрослого человека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- сухари, печенье, галеты в бумажной или целлофановой упаковке, мясные или рыбные консервы с консервным ножом и готовые к употреблению, высококалорийные продукты (шоколад, печенье), чай, конфеты, сахар-рафинад, соль и т.д.;</w:t>
      </w:r>
    </w:p>
    <w:p w14:paraId="784873B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для детей</w:t>
      </w:r>
      <w:r>
        <w:rPr>
          <w:rFonts w:ascii="Times New Roman" w:hAnsi="Times New Roman" w:eastAsia="Calibri" w:cs="Times New Roman"/>
          <w:sz w:val="28"/>
          <w:szCs w:val="28"/>
        </w:rPr>
        <w:t>, учитывая их возраст и состояние здоровья, - специальное детское питание (по возрасту), сгущенное молоко, сухое молоко, фруктовые напитки и т.д.</w:t>
      </w:r>
    </w:p>
    <w:p w14:paraId="0E8BDC5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Необходимо взять с собой </w:t>
      </w:r>
      <w:r>
        <w:rPr>
          <w:rFonts w:ascii="Times New Roman" w:hAnsi="Times New Roman" w:eastAsia="Calibri" w:cs="Times New Roman"/>
          <w:b/>
          <w:sz w:val="28"/>
          <w:szCs w:val="28"/>
        </w:rPr>
        <w:t>не менее 2 литров воды на сутки на каждого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человека. В жару потребность воды увеличивается вдвое. Вода должна храниться в пластиковой или эмалированной таре. Ни в коем случае не используйте стеклотару, которая может разбиться.</w:t>
      </w:r>
    </w:p>
    <w:sectPr>
      <w:pgSz w:w="11906" w:h="16838"/>
      <w:pgMar w:top="1134" w:right="851" w:bottom="1134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CF9"/>
    <w:rsid w:val="000E0C12"/>
    <w:rsid w:val="0010367A"/>
    <w:rsid w:val="001B454F"/>
    <w:rsid w:val="00705CF9"/>
    <w:rsid w:val="00BE5577"/>
    <w:rsid w:val="00C17142"/>
    <w:rsid w:val="00D3560A"/>
    <w:rsid w:val="00ED4CDC"/>
    <w:rsid w:val="00F61841"/>
    <w:rsid w:val="376C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 w:eastAsiaTheme="minorEastAsia"/>
      <w:sz w:val="16"/>
      <w:szCs w:val="16"/>
      <w:lang w:eastAsia="ru-RU"/>
    </w:rPr>
  </w:style>
  <w:style w:type="character" w:customStyle="1" w:styleId="8">
    <w:name w:val="Верхний колонтитул Знак"/>
    <w:basedOn w:val="2"/>
    <w:link w:val="5"/>
    <w:qFormat/>
    <w:uiPriority w:val="99"/>
    <w:rPr>
      <w:rFonts w:eastAsiaTheme="minorEastAsia"/>
      <w:lang w:eastAsia="ru-RU"/>
    </w:rPr>
  </w:style>
  <w:style w:type="character" w:customStyle="1" w:styleId="9">
    <w:name w:val="Нижний колонтитул Знак"/>
    <w:basedOn w:val="2"/>
    <w:link w:val="6"/>
    <w:qFormat/>
    <w:uiPriority w:val="99"/>
    <w:rPr>
      <w:rFonts w:eastAsiaTheme="minorEastAsia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emf"/><Relationship Id="rId8" Type="http://schemas.openxmlformats.org/officeDocument/2006/relationships/image" Target="media/image3.emf"/><Relationship Id="rId7" Type="http://schemas.openxmlformats.org/officeDocument/2006/relationships/image" Target="media/image2.png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3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CB72B045-7FFF-4641-A512-7B001D46A041">Что брать с собой в укрытие</FullName>
    <MU xmlns="cb72b045-7fff-4641-a512-7b001d46a041" xsi:nil="true"/>
    <DocDate xmlns="CB72B045-7FFF-4641-A512-7B001D46A041">2022-12-22T21:00:00+00:00</DocDate>
    <Publish xmlns="CB72B045-7FFF-4641-A512-7B001D46A041">true</Publish>
    <DocNum xmlns="CB72B045-7FFF-4641-A512-7B001D46A0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08733B1E4987C49BE84849461099542" ma:contentTypeVersion="1" ma:contentTypeDescription="Создание документа." ma:contentTypeScope="" ma:versionID="1880cd815df93386c26c211f15704f93">
  <xsd:schema xmlns:xsd="http://www.w3.org/2001/XMLSchema" xmlns:xs="http://www.w3.org/2001/XMLSchema" xmlns:p="http://schemas.microsoft.com/office/2006/metadata/properties" xmlns:ns2="CB72B045-7FFF-4641-A512-7B001D46A041" xmlns:ns3="cb72b045-7fff-4641-a512-7b001d46a041" targetNamespace="http://schemas.microsoft.com/office/2006/metadata/properties" ma:root="true" ma:fieldsID="289b456838aed35d9c1ff89644c01d1b" ns2:_="" ns3:_="">
    <xsd:import namespace="CB72B045-7FFF-4641-A512-7B001D46A041"/>
    <xsd:import namespace="cb72b045-7fff-4641-a512-7b001d46a041"/>
    <xsd:element name="properties">
      <xsd:complexType>
        <xsd:sequence>
          <xsd:element name="documentManagement">
            <xsd:complexType>
              <xsd:all>
                <xsd:element ref="ns2:FullName"/>
                <xsd:element ref="ns2:DocNum" minOccurs="0"/>
                <xsd:element ref="ns2:DocDate" minOccurs="0"/>
                <xsd:element ref="ns2:Publish" minOccurs="0"/>
                <xsd:element ref="ns3:M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2B045-7FFF-4641-A512-7B001D46A041" elementFormDefault="qualified">
    <xsd:import namespace="http://schemas.microsoft.com/office/2006/documentManagement/types"/>
    <xsd:import namespace="http://schemas.microsoft.com/office/infopath/2007/PartnerControls"/>
    <xsd:element name="FullName" ma:index="1" ma:displayName="Наименование" ma:description="Полное наименование документа" ma:internalName="FullName">
      <xsd:simpleType>
        <xsd:restriction base="dms:Note"/>
      </xsd:simpleType>
    </xsd:element>
    <xsd:element name="DocNum" ma:index="2" nillable="true" ma:displayName="Номер" ma:description="Номер документа" ma:internalName="DocNum">
      <xsd:simpleType>
        <xsd:restriction base="dms:Text">
          <xsd:maxLength value="255"/>
        </xsd:restriction>
      </xsd:simpleType>
    </xsd:element>
    <xsd:element name="DocDate" ma:index="3" nillable="true" ma:displayName="Дата" ma:description="Дата документа" ma:format="DateOnly" ma:internalName="DocDate">
      <xsd:simpleType>
        <xsd:restriction base="dms:DateTime"/>
      </xsd:simpleType>
    </xsd:element>
    <xsd:element name="Publish" ma:index="4" nillable="true" ma:displayName="Опубликовано" ma:default="0" ma:internalName="Publish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2b045-7fff-4641-a512-7b001d46a041" elementFormDefault="qualified">
    <xsd:import namespace="http://schemas.microsoft.com/office/2006/documentManagement/types"/>
    <xsd:import namespace="http://schemas.microsoft.com/office/infopath/2007/PartnerControls"/>
    <xsd:element name="MU" ma:index="12" nillable="true" ma:displayName="Муниципальное учреждение" ma:list="{8c363d31-d076-436b-a52b-676cca39abee}" ma:internalName="MU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DFF23A-9864-4E59-8A79-80E59EC817E2}">
  <ds:schemaRefs/>
</ds:datastoreItem>
</file>

<file path=customXml/itemProps2.xml><?xml version="1.0" encoding="utf-8"?>
<ds:datastoreItem xmlns:ds="http://schemas.openxmlformats.org/officeDocument/2006/customXml" ds:itemID="{0E280C6C-0D11-4433-9E84-BFB99AECDD3C}">
  <ds:schemaRefs/>
</ds:datastoreItem>
</file>

<file path=customXml/itemProps3.xml><?xml version="1.0" encoding="utf-8"?>
<ds:datastoreItem xmlns:ds="http://schemas.openxmlformats.org/officeDocument/2006/customXml" ds:itemID="{72C48AD4-EFAA-44C0-8A9B-AB77E33DF7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410</Words>
  <Characters>2571</Characters>
  <Lines>21</Lines>
  <Paragraphs>5</Paragraphs>
  <TotalTime>13</TotalTime>
  <ScaleCrop>false</ScaleCrop>
  <LinksUpToDate>false</LinksUpToDate>
  <CharactersWithSpaces>2952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2022-11-05T15:12:00Z</dcterms:created>
  <dc:creator>Гришков Андрей Владимирович</dc:creator>
  <cp:lastModifiedBy>WPS_1779427495</cp:lastModifiedBy>
  <dcterms:modified xsi:type="dcterms:W3CDTF">2026-06-16T05:54:53Z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0x010100008733B1E4987C49BE84849461099542</vt:lpwstr>
  </property>
  <property fmtid="{D5CDD505-2E9C-101B-9397-08002B2CF9AE}" pid="3" name="KSOProductBuildVer">
    <vt:lpwstr>1049-12.1.0.26880</vt:lpwstr>
  </property>
  <property fmtid="{D5CDD505-2E9C-101B-9397-08002B2CF9AE}" pid="4" name="ICV">
    <vt:lpwstr>DBEEAD63120B4F2FA2EACA1BB58A9D9D_13</vt:lpwstr>
  </property>
</Properties>
</file>